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113</w:t>
      </w:r>
    </w:p>
    <w:p>
      <w:r>
        <w:t>Bundesgericht (BGE), 2011-01-01, FR</w:t>
      </w:r>
    </w:p>
    <w:p>
      <w:r>
        <w:rPr>
          <w:b/>
        </w:rPr>
        <w:t xml:space="preserve">Quelle: </w:t>
      </w:r>
      <w:r>
        <w:t>https://mcp.opencaselaw.ch/entscheid/bge_137 III 113</w:t>
      </w:r>
    </w:p>
    <w:p>
      <w:r>
        <w:t>FR: ATF 137 III 113</w:t>
      </w:r>
    </w:p>
    <w:p>
      <w:r>
        <w:t>IT: DTF 137 III 113</w:t>
      </w:r>
    </w:p>
    <w:p>
      <w:pPr>
        <w:pStyle w:val="Heading2"/>
      </w:pPr>
      <w:r>
        <w:t>Regeste</w:t>
      </w:r>
    </w:p>
    <w:p>
      <w:r>
        <w:t>Regeste Art. 216 ZGB, aArt. 214 Abs. 3 ZGB und Art. 10 SchlT ZGB; Ehevertrag. Die Einhaltung der Formerfordernisse des Ehevertrages ist erforderlich und genügend, um die Beteiligung am Vorschlag, der aus der güterrechtlichen Auseinandersetzung resultiert, zugunsten des überlebenden Ehegatten abzuändern. Diese Regel gilt sowohl für den Güterstand der Errungenschaftsbeteiligung als auch für denjenigen der Güterverbindung nach altem Recht (E. 4.2 und 4.3).</w:t>
      </w:r>
    </w:p>
    <w:p>
      <w:pPr>
        <w:pStyle w:val="Heading2"/>
      </w:pPr>
      <w:r>
        <w:t>Erwägungen</w:t>
      </w:r>
    </w:p>
    <w:p>
      <w:r>
        <w:rPr>
          <w:b/>
        </w:rPr>
        <w:t>E. 34</w:t>
      </w:r>
    </w:p>
    <w:p>
      <w:r>
        <w:t>ss ad art. 216 CC ; PIOTET, Les libéralités par contrat de mariage ou autres donations au sens large et le droit successoral, 1997, p. 30 ss; HAUSHEER/AEBI-MÜLLER, in Basler Kommentar, Zivilgesetzbuch, vol. I, 4 e éd. 2010, n° 27 ad art. 216 CC ; STECK, in Scheidung, Kommentar, 2 e éd. 2011, n° 15 art. 216 CC ; STETTLER/ BGE 137 III 113 S. 116 WAELTI, Le régime matrimonial, 2 e éd. 1997, n. 437; TERCIER, Les contrats spéciaux, 2009, n. 1841; AEBI-MÜLLER, op. cit., n. 06.23; WILDISEN, Das Erbrecht des überlebenden Ehegatten, 1997, p. 87 s.). Cette qualification est contestée par une partie de la doctrine qui considère cette modification comme une libéralité entre vifs, qui intervient - en cas de décès d'un conjoint - à la dernière seconde de la vie de celui-ci, la liquidation du régime précédant celle de la succession (pour un exposé complet: STEINAUER, op. cit., Le calcul, p. 403 ss; cf. également: DESCHENAUX/STEINAUER/BADDELEY, op. cit., n. 1351; STEINAUER, Le droit des successions, 2006, n. 285e; RUMO-JUNGO, in Handkommentar zum Schweizer Privatrecht, 2007, n° 12 ad art. 216/217 CC; WEIMAR, Berner Kommentar, 2000, n° 106 des remarques préliminaires au titre quatorzième CC; WOLF, Vorschlags- und Gesamtgutszuweisung an den überlebenden Ehegatten, 1996, p. 148 ss; SCHULER, Die Mehrwertbeteiligung unter Ehegatten im Entwurf für eine Änderung des Zivilgesetzbuches, 1984, p. 142). 4.2.3 S'agissant de la forme que doivent revêtir de telles conventions, le Tribunal fédéral ne s'est prononcé explicitement sur la question qu'antérieurement à l'arrêt Nobel, qui les qualifie de dispositions pour cause de mort ( ATF 102 II 313 consid. 4). Il avait alors jugé que l'observation des formes prévues à l'ancien art. 214 al. 3 CC , à savoir celles du contrat de mariage, était nécessaire et suffisante sans devoir respecter celles du pacte successoral ( ATF 58 II 1 ). L'arrêt Nobel ne tranche pas la question de la forme; il constate cependant que c'est par contrat de mariage qu'a eu lieu l'attribution du bénéfice au conjoint survivant qualifiée de donation pour cause de mort au sens de l' art. 245 al. 2 CO ( ATF 102 II 313 consid. 4d). Depuis lors, et malgré cette nouvelle qualification juridique, la forme du contrat de mariage paraît avoir été jugée suffisante (cf. ATF 127 III 529 ; ATF 116 II 243 dont l'état de fait indique que les époux avaient conclu un contrat de mariage et non un pacte successoral). Pour le régime de la participation aux acquêts, il ressort du message du Conseil fédéral du 11 juillet 1979 concernant la révision du code civil suisse - dont le projet proposait une reprise de la solution retenue par l'arrêt Nobel dans la loi - que la forme des dérogations conventionnelles est le contrat de mariage, même si elles peuvent renfermer, quant au fond, une disposition pour cause de mort (FF 1979 II 1302 ch. 222. 542). La doctrine, qu'elle soit partisane de la qualification d'acte entre vifs ou de disposition pour cause de mort, partage cet avis (HAUSHEER/REUSSER/GEISER, op. cit., n° 10 ad art. 216 CC ; PIOTET, op. cit., BGE 137 III 113 S. 117 p. 23 et 101; HAUSHEER/AEBI-MÜLLER, op. cit., n° 10 ad art. 216 CC ; STECK, op. cit., n° 15 art. 216 CC ; DESCHENAUX/STEINAUER/BADDELEY, op. cit., n. 1350b; STEINAUER, op. cit., n. 285e; DRUEY, Grundriss des Erbrechts, 2002, n. 50; BADDELEY, in Commentaire romand, Code des obligations, vol. I, 2003, n° 42 ad art. 245 CO ; AEBI-MÜLLER, op. cit., n. 06.24; cf. également LEMP, Berner Kommentar, 1963, n os 81 s. ad ancien art. 214 CC ). TERCIER, que citent les recourants à l'appui de leur thèse, qualifie l'attribution du bénéfice de disposition pour cause de mort en se référant à l' ATF 102 II 312 (TERCIER, op. cit., n. 1841). Quant à la forme, il indique de manière générale que la validité d'une donation au décès est subordonnée aux règles applicables aux pactes successoraux, sans se prononcer expressément sur l'attribution du bénéfice issu de la liquidation du régime matrimonial (TERCIER, op. cit., n. 1843). 4.3 Il n'y a pas lieu d'examiner, en l'espèce, la question de la qualification juridique des conventions prévoyant une répartition du bénéfice autre que celle prévue par la loi dès lors que les considérations qui suivent, confirment que la forme du contrat de mariage est suffisante. En premier lieu, le texte légal lui-même prévoit expressément qu'une dérogation au système de la loi doit intervenir par contrat de mariage (ancien art. 214 al. 3 et art. 216 al. 1 CC ). En outre, ces deux dispositions sont comprises, d'un point de vue systématique, dans le titre du Code civil traitant des régimes matrimoniaux et non dans celui relatif aux dispositions pour cause de mort. Quant à leur portée, ces conventions dérogeant au système légal sont, d'une manière générale, prévues en faveur du conjoint survivant, l' art. 217 CC précisant qu'à défaut d'une clause expresse dans le contrat de mariage, elles ne s'appliquent pas en cas de divorce, séparation de corps ou nullité du mariage (pour l'ancien droit, art. 154 al. 3, 155 et 134 al. 2 CC). Aussi, la disposition spéciale ( art. 216 al. 1 CC ou, comme en l'espèce, ancien art. 214 al. 3 CC ) qui les soumet au contrat de mariage serait pratiquement vidée de son sens si l'on exigeait qu'elles satisfassent aux formes du pacte successoral aussitôt qu'elles visent à favoriser le conjoint survivant. En outre, dès lors que la loi prévoit expressément que les conventions sur la répartition du bénéfice peuvent porter atteinte aux droits des héritiers réservataires à l'exclusion de ceux des enfants non communs et de leurs descendants ( art. 216 al. 2 CC et 10 al. 3 Tit. fin. CC), force est d'admettre qu'elle les soumet à des règles spécifiques qui diffèrent de celles prévalant de manière générale en droit successoral. Si tel n'était pas le cas, ces BGE 137 III 113 S. 118 conventions ne seraient autorisées que dans les limites de la quotité disponible, seraient sans autre soumises à réduction et il n'aurait pas été nécessaire de prévoir un correctif en faveur des descendants non communs. De telles conventions ne doivent en conséquence pas satisfaire aux formes du pacte successoral même si elles ne produisent leur effet qu'en cas de décès de l'un des conjoints. Les art. 216 al. 1 CC et ancien 214 al. 3 CC constituent des "leges speciales" par rapport aux art. 245 al. 2 CO et 512 CC. Enfin, un traitement différent des époux soumis au régime de l'union des biens, comme le préconisent les recourants en se référant à BADDELEY - qui pourtant ne se prononce pas sur la question (BADDELEY, op. cit., n° 42 ad art. 245 CO ) -, ne se justifie pas. Le législateur a en effet expressément soumis les contrats de mariage passés sous l'ancien droit - comme ceux conclus sous le nouveau droit - à des règles spéciales comparables, notamment en ce qui concerne la protection des héritiers réservataires. Les art. 216 CC et ancien 214 al. 3 CC en relation avec l' art. 10 al. 3 Tit. fin. CC doivent ainsi être interprétés de manière identique (cf. consid. 4.2.1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